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 w:hint="cs"/>
          <w:sz w:val="24"/>
          <w:szCs w:val="24"/>
          <w:rtl/>
        </w:rPr>
      </w:pPr>
    </w:p>
    <w:p w14:paraId="46E6A6D1" w14:textId="7ACB42DE" w:rsidR="00D656F6" w:rsidRPr="00D3520D" w:rsidRDefault="007E4B99" w:rsidP="00D3520D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rtl/>
          <w:lang w:bidi="ar-YE"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D3520D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د. </w:t>
      </w:r>
      <w:r w:rsidR="0094426E">
        <w:rPr>
          <w:rFonts w:ascii="Arial" w:eastAsia="Tajawal" w:hAnsi="Arial" w:cs="Arial" w:hint="cs"/>
          <w:b/>
          <w:bCs/>
          <w:sz w:val="44"/>
          <w:szCs w:val="44"/>
          <w:rtl/>
          <w:lang w:bidi="ar-YE"/>
        </w:rPr>
        <w:t>أنور أحمد صالح القادري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0DEB4211" w14:textId="5B0E4A5B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Name: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Anower</w:t>
            </w:r>
            <w:proofErr w:type="spellEnd"/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Ahmed </w:t>
            </w:r>
            <w:proofErr w:type="spellStart"/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Saleh</w:t>
            </w:r>
            <w:proofErr w:type="spellEnd"/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Al-</w:t>
            </w:r>
            <w:proofErr w:type="spellStart"/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Kadry</w:t>
            </w:r>
            <w:proofErr w:type="spellEnd"/>
          </w:p>
          <w:p w14:paraId="00266A6B" w14:textId="49F96370" w:rsidR="005659B6" w:rsidRPr="00250C5B" w:rsidRDefault="005659B6" w:rsidP="00250C5B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color w:val="010302"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Academic Degree: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Assistant Professor</w:t>
            </w:r>
          </w:p>
          <w:p w14:paraId="4DEA1E38" w14:textId="0361678F" w:rsidR="005659B6" w:rsidRPr="0094426E" w:rsidRDefault="000459CB" w:rsidP="005659B6">
            <w:pPr>
              <w:rPr>
                <w:rFonts w:asciiTheme="majorBidi" w:eastAsia="Tajawal" w:hAnsiTheme="majorBidi" w:cstheme="majorBidi"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Specialty</w:t>
            </w:r>
            <w:r w:rsidR="005659B6"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250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4426E">
              <w:rPr>
                <w:rFonts w:asciiTheme="majorBidi" w:hAnsiTheme="majorBidi" w:cstheme="majorBidi"/>
                <w:sz w:val="24"/>
                <w:szCs w:val="24"/>
              </w:rPr>
              <w:t>Vitreoretinal Senior Consultant</w:t>
            </w:r>
          </w:p>
          <w:p w14:paraId="28BC2030" w14:textId="112F7246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Faculty:</w:t>
            </w:r>
            <w:r w:rsidR="00B14DA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Medicine</w:t>
            </w:r>
          </w:p>
          <w:p w14:paraId="7751A603" w14:textId="529CA2CF" w:rsidR="0094426E" w:rsidRDefault="005659B6" w:rsidP="00E84E5E"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Department:</w:t>
            </w:r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Ophthalmology</w:t>
            </w:r>
            <w:r w:rsidR="00EE6E0D">
              <w:t xml:space="preserve"> </w:t>
            </w:r>
          </w:p>
          <w:p w14:paraId="63644F79" w14:textId="77777777" w:rsidR="005659B6" w:rsidRDefault="005659B6" w:rsidP="00E84E5E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r w:rsidRPr="00263D4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E-mail</w:t>
            </w:r>
            <w:r w:rsidR="0094426E" w:rsidRPr="00263D4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: </w:t>
            </w:r>
            <w:r w:rsidR="00263D43" w:rsidRPr="00734F07"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  <w:t>@21umas.edu.ye</w:t>
            </w:r>
          </w:p>
          <w:p w14:paraId="03DE02E2" w14:textId="77777777" w:rsidR="001761E2" w:rsidRDefault="001761E2" w:rsidP="001761E2">
            <w:pPr>
              <w:rPr>
                <w:rFonts w:ascii="Arial" w:hAnsi="Arial" w:cs="Arial"/>
                <w:b/>
                <w:bCs/>
                <w:color w:val="0000FF"/>
                <w:u w:val="singl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dr.alkadmy@21umas.edu.ye</w:t>
              </w:r>
            </w:hyperlink>
          </w:p>
          <w:p w14:paraId="3AD19457" w14:textId="542B78FF" w:rsidR="001761E2" w:rsidRPr="00263D43" w:rsidRDefault="001761E2" w:rsidP="00E84E5E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bookmarkStart w:id="0" w:name="_GoBack"/>
            <w:bookmarkEnd w:id="0"/>
          </w:p>
        </w:tc>
        <w:tc>
          <w:tcPr>
            <w:tcW w:w="4684" w:type="dxa"/>
            <w:vAlign w:val="center"/>
          </w:tcPr>
          <w:p w14:paraId="36D03584" w14:textId="5B920A7A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الاسم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94426E" w:rsidRPr="0094426E">
              <w:rPr>
                <w:rFonts w:ascii="Arial" w:eastAsia="Tajawal" w:hAnsi="Arial" w:cs="Arial" w:hint="cs"/>
                <w:b/>
                <w:bCs/>
                <w:sz w:val="24"/>
                <w:szCs w:val="24"/>
                <w:rtl/>
                <w:lang w:bidi="ar-YE"/>
              </w:rPr>
              <w:t>أنور أحمد صالح القادري</w:t>
            </w:r>
          </w:p>
          <w:p w14:paraId="1903A5FF" w14:textId="3692EB2C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94426E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أستاذ مساعد</w:t>
            </w:r>
          </w:p>
          <w:p w14:paraId="338883D5" w14:textId="31094785" w:rsidR="005659B6" w:rsidRPr="00734F07" w:rsidRDefault="005659B6" w:rsidP="00E84E5E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التخصص الدقيق</w:t>
            </w:r>
            <w:r w:rsidR="008223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94426E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أمراض وجراحة الشبكية</w:t>
            </w:r>
          </w:p>
          <w:p w14:paraId="28BFEA50" w14:textId="5ADC2CEB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الكلية: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94426E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الطب البشري</w:t>
            </w:r>
          </w:p>
          <w:p w14:paraId="1C95C379" w14:textId="089481BC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القسم العلمي</w:t>
            </w:r>
            <w:r w:rsidR="0094426E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: قسم العيون</w:t>
            </w:r>
          </w:p>
          <w:p w14:paraId="7AD1CC58" w14:textId="77777777" w:rsidR="005659B6" w:rsidRDefault="005659B6" w:rsidP="00061115">
            <w:pPr>
              <w:bidi/>
              <w:rPr>
                <w:rFonts w:ascii="Times New Roman" w:eastAsia="Tajawal" w:hAnsi="Times New Roman" w:cs="Times New Roman" w:hint="cs"/>
                <w:b/>
                <w:rtl/>
                <w:lang w:bidi="ar-EG"/>
              </w:rPr>
            </w:pPr>
            <w:proofErr w:type="spellStart"/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الايميل</w:t>
            </w:r>
            <w:proofErr w:type="spellEnd"/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EC2AE4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263D43" w:rsidRPr="00734F07"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  <w:t>@21umas.edu.ye</w:t>
            </w:r>
          </w:p>
          <w:p w14:paraId="16FC2D58" w14:textId="77777777" w:rsidR="001761E2" w:rsidRDefault="001761E2" w:rsidP="001761E2">
            <w:pPr>
              <w:bidi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dr.alkadmy@21umas.edu.ye</w:t>
              </w:r>
            </w:hyperlink>
          </w:p>
          <w:p w14:paraId="1534B2B0" w14:textId="28411C46" w:rsidR="001761E2" w:rsidRPr="007E4B99" w:rsidRDefault="001761E2" w:rsidP="001761E2">
            <w:pPr>
              <w:bidi/>
              <w:rPr>
                <w:rFonts w:ascii="Times New Roman" w:eastAsia="Tajawal" w:hAnsi="Times New Roman" w:cs="Times New Roman"/>
                <w:b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21B7BEB0" w14:textId="4634ED80" w:rsidR="005659B6" w:rsidRPr="007E4B99" w:rsidRDefault="007E4B99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E84E5E" w14:paraId="7E2697CC" w14:textId="77777777">
        <w:trPr>
          <w:trHeight w:val="555"/>
        </w:trPr>
        <w:tc>
          <w:tcPr>
            <w:tcW w:w="2070" w:type="dxa"/>
            <w:vAlign w:val="center"/>
          </w:tcPr>
          <w:p w14:paraId="552CAFAF" w14:textId="6E6F3FCD" w:rsidR="00E84E5E" w:rsidRPr="00E84E5E" w:rsidRDefault="00676B21" w:rsidP="000904DD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A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cademic</w:t>
            </w:r>
            <w:r w:rsidR="000904DD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&amp; Research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websites</w:t>
            </w:r>
          </w:p>
        </w:tc>
        <w:tc>
          <w:tcPr>
            <w:tcW w:w="4952" w:type="dxa"/>
            <w:vAlign w:val="center"/>
          </w:tcPr>
          <w:p w14:paraId="30EDFD87" w14:textId="1F1E3A41" w:rsidR="00E84E5E" w:rsidRDefault="00676B21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676B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</w:t>
            </w:r>
            <w:r w:rsid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  <w:r w:rsidR="00F6003A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Registered </w:t>
            </w:r>
          </w:p>
          <w:p w14:paraId="242EF79E" w14:textId="19450264" w:rsidR="00B267F6" w:rsidRDefault="00B267F6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 Gate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Registered</w:t>
            </w:r>
          </w:p>
          <w:p w14:paraId="0E7289D5" w14:textId="28E7603C" w:rsidR="00B267F6" w:rsidRDefault="00B267F6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ORCID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  <w:r w:rsidR="00F6003A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Registered</w:t>
            </w:r>
          </w:p>
          <w:p w14:paraId="36C1878D" w14:textId="05C031D2" w:rsidR="00B267F6" w:rsidRDefault="00B267F6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AD Scientific Index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Registered</w:t>
            </w: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1E05667D" w14:textId="6C24BFBE" w:rsidR="00B267F6" w:rsidRDefault="00B267F6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WOS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</w:p>
          <w:p w14:paraId="2E5C9F12" w14:textId="13FD95C9" w:rsidR="00B267F6" w:rsidRPr="00676B21" w:rsidRDefault="00B267F6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Scopus</w:t>
            </w:r>
            <w:r w:rsidR="00F6003A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293117DD" w14:textId="1A221F25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676B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</w:rPr>
              <w:t xml:space="preserve"> مسجل</w:t>
            </w:r>
          </w:p>
          <w:p w14:paraId="5B6D384C" w14:textId="7BC10A3B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 Gate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  <w:lang w:bidi="ar-YE"/>
              </w:rPr>
              <w:t xml:space="preserve">  مسجل</w:t>
            </w:r>
          </w:p>
          <w:p w14:paraId="0815B299" w14:textId="40DFB08A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ORCID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</w:rPr>
              <w:t xml:space="preserve">مسجل </w:t>
            </w:r>
          </w:p>
          <w:p w14:paraId="43715C24" w14:textId="6D491471" w:rsid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AD Scientific Index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</w:rPr>
              <w:t xml:space="preserve"> مسجل </w:t>
            </w: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2B5BD933" w14:textId="6D0161CC" w:rsidR="00676B21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 w:rsidRP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WOS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F6003A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  <w:p w14:paraId="324F4EDB" w14:textId="60E03102" w:rsidR="00B267F6" w:rsidRPr="00B267F6" w:rsidRDefault="00B267F6" w:rsidP="00B267F6">
            <w:pPr>
              <w:pStyle w:val="a6"/>
              <w:numPr>
                <w:ilvl w:val="0"/>
                <w:numId w:val="18"/>
              </w:numPr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  <w:r w:rsidRPr="00B267F6">
              <w:rPr>
                <w:rFonts w:ascii="Times New Roman" w:eastAsia="Tajawal" w:hAnsi="Times New Roman" w:cs="Times New Roman"/>
                <w:bCs/>
                <w:sz w:val="28"/>
                <w:szCs w:val="28"/>
              </w:rPr>
              <w:t>Scopus</w:t>
            </w:r>
          </w:p>
        </w:tc>
        <w:tc>
          <w:tcPr>
            <w:tcW w:w="1700" w:type="dxa"/>
            <w:vAlign w:val="center"/>
          </w:tcPr>
          <w:p w14:paraId="2790EED1" w14:textId="7295BF26" w:rsidR="00E84E5E" w:rsidRPr="007E4B99" w:rsidRDefault="00E84E5E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المواقع ال</w:t>
            </w:r>
            <w:r w:rsidR="000503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اكاديمية</w:t>
            </w:r>
            <w:r w:rsidR="000904DD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 xml:space="preserve"> والبحثية </w:t>
            </w:r>
          </w:p>
        </w:tc>
      </w:tr>
      <w:tr w:rsidR="005659B6" w14:paraId="17C4972F" w14:textId="77777777">
        <w:trPr>
          <w:trHeight w:val="555"/>
        </w:trPr>
        <w:tc>
          <w:tcPr>
            <w:tcW w:w="2070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14:paraId="555CA192" w14:textId="2CD99B83" w:rsidR="00E10351" w:rsidRPr="0094426E" w:rsidRDefault="0094426E" w:rsidP="0094426E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Senior Consultant of Ophthalmology </w:t>
            </w:r>
            <w:r w:rsidR="00730236" w:rsidRPr="00873CAD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166F6C28" w14:textId="77777777" w:rsidR="005D5615" w:rsidRDefault="0094426E" w:rsidP="00873CA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Senior Consultant of </w:t>
            </w:r>
            <w:r w:rsidR="005D561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efractive and Cataract</w:t>
            </w:r>
          </w:p>
          <w:p w14:paraId="459CBB23" w14:textId="4AB7C146" w:rsidR="005659B6" w:rsidRPr="00873CAD" w:rsidRDefault="005D5615" w:rsidP="00873CAD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Senior Consultant of Vitreoretinal</w:t>
            </w:r>
            <w:r w:rsidR="0094426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2E64B63D" w14:textId="77777777" w:rsidR="0094426E" w:rsidRPr="0094426E" w:rsidRDefault="0094426E" w:rsidP="0094426E">
            <w:pPr>
              <w:bidi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</w:p>
          <w:p w14:paraId="1AA7CA70" w14:textId="4D247D87" w:rsidR="000D0F9E" w:rsidRDefault="0094426E" w:rsidP="0094426E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YE"/>
              </w:rPr>
              <w:t xml:space="preserve">استشاري أول طب وجراحة العيون </w:t>
            </w:r>
          </w:p>
          <w:p w14:paraId="189447AC" w14:textId="07B112B7" w:rsidR="0094426E" w:rsidRPr="0094426E" w:rsidRDefault="0094426E" w:rsidP="0094426E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YE"/>
              </w:rPr>
              <w:t xml:space="preserve">استشاري جراحة المياه البيضاء وتصحيح النظر بالليزر </w:t>
            </w:r>
          </w:p>
          <w:p w14:paraId="28C4090E" w14:textId="746B6D6B" w:rsidR="005659B6" w:rsidRPr="00F65C55" w:rsidRDefault="0094426E" w:rsidP="000D0F9E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b/>
                <w:rtl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استشاري أمراض وجراحة الشبكية </w:t>
            </w:r>
          </w:p>
        </w:tc>
        <w:tc>
          <w:tcPr>
            <w:tcW w:w="1700" w:type="dxa"/>
            <w:vAlign w:val="center"/>
          </w:tcPr>
          <w:p w14:paraId="039C21AD" w14:textId="52595057" w:rsidR="005659B6" w:rsidRPr="007E4B99" w:rsidRDefault="00F142D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>
        <w:trPr>
          <w:trHeight w:val="555"/>
        </w:trPr>
        <w:tc>
          <w:tcPr>
            <w:tcW w:w="2070" w:type="dxa"/>
            <w:vAlign w:val="center"/>
          </w:tcPr>
          <w:p w14:paraId="065B910A" w14:textId="43F95613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Education</w:t>
            </w:r>
          </w:p>
        </w:tc>
        <w:tc>
          <w:tcPr>
            <w:tcW w:w="4952" w:type="dxa"/>
            <w:vAlign w:val="center"/>
          </w:tcPr>
          <w:p w14:paraId="61F83BF5" w14:textId="3C6B325A" w:rsidR="00151240" w:rsidRDefault="00151240" w:rsidP="00E84E5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Ph.D. </w:t>
            </w:r>
            <w:r w:rsidR="005D56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Jordanian Board of </w:t>
            </w:r>
            <w:proofErr w:type="spellStart"/>
            <w:r w:rsidR="005D56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Opthalmology</w:t>
            </w:r>
            <w:proofErr w:type="spellEnd"/>
          </w:p>
          <w:p w14:paraId="79DB893C" w14:textId="77777777" w:rsidR="00505876" w:rsidRDefault="00505876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820734" w14:textId="245BDB96" w:rsidR="00151240" w:rsidRDefault="003E5840" w:rsidP="00E84E5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M.Sc. </w:t>
            </w:r>
          </w:p>
          <w:p w14:paraId="38DB0FE1" w14:textId="77777777" w:rsidR="005767C9" w:rsidRDefault="005767C9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D350FB" w14:textId="605D2FD2" w:rsidR="00E84E5E" w:rsidRPr="00151240" w:rsidRDefault="003E5840" w:rsidP="00E84E5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B.Sc. </w:t>
            </w:r>
            <w:r w:rsidR="006500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General Medicine (Sana’a University)</w:t>
            </w:r>
          </w:p>
          <w:p w14:paraId="01D7D0FA" w14:textId="7303D205" w:rsidR="005659B6" w:rsidRPr="00151240" w:rsidRDefault="005659B6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4DC29942" w14:textId="1654DD3C" w:rsidR="006C19C8" w:rsidRPr="00D35463" w:rsidRDefault="00914320" w:rsidP="00505876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sz w:val="28"/>
                <w:szCs w:val="28"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lastRenderedPageBreak/>
              <w:t>درجة</w:t>
            </w:r>
            <w:r w:rsidRPr="00D35463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الدكتوراة</w:t>
            </w:r>
            <w:r w:rsidR="005D5615">
              <w:rPr>
                <w:rFonts w:ascii="Times New Roman" w:eastAsia="Tajawal" w:hAnsi="Times New Roman" w:cs="Times New Roman"/>
                <w:b/>
                <w:sz w:val="28"/>
                <w:szCs w:val="28"/>
                <w:lang w:bidi="ar-EG"/>
              </w:rPr>
              <w:t xml:space="preserve"> </w:t>
            </w:r>
            <w:r w:rsidR="005D5615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 البورد الأردني</w:t>
            </w:r>
            <w:r w:rsidRPr="00D35463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</w:p>
          <w:p w14:paraId="2B592A2B" w14:textId="77777777" w:rsidR="00505876" w:rsidRPr="00D35463" w:rsidRDefault="00505876" w:rsidP="00505876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sz w:val="28"/>
                <w:szCs w:val="28"/>
                <w:rtl/>
                <w:lang w:bidi="ar-EG"/>
              </w:rPr>
            </w:pPr>
          </w:p>
          <w:p w14:paraId="61461D18" w14:textId="77777777" w:rsidR="00E84E5E" w:rsidRPr="00E84E5E" w:rsidRDefault="004038C7" w:rsidP="00E84E5E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lastRenderedPageBreak/>
              <w:t>درجة</w:t>
            </w:r>
            <w:r w:rsidRPr="00D35463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الماجستير</w:t>
            </w:r>
            <w:r w:rsidRPr="00D35463">
              <w:rPr>
                <w:rFonts w:ascii="Times New Roman" w:eastAsia="Tajawal" w:hAnsi="Times New Roman" w:hint="cs"/>
                <w:b/>
                <w:sz w:val="28"/>
                <w:szCs w:val="28"/>
                <w:rtl/>
                <w:lang w:bidi="ar-EG"/>
              </w:rPr>
              <w:t xml:space="preserve">- </w:t>
            </w:r>
          </w:p>
          <w:p w14:paraId="4F78BDF8" w14:textId="0B837CCB" w:rsidR="005659B6" w:rsidRPr="00BB7085" w:rsidRDefault="009F6526" w:rsidP="00E84E5E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بكالوريوس</w:t>
            </w:r>
            <w:r w:rsidR="006500C3"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  <w:t xml:space="preserve"> </w:t>
            </w:r>
            <w:r w:rsidR="006500C3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YE"/>
              </w:rPr>
              <w:t>: طب عام وجراحة (جامعة صنعاء)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التعليم</w:t>
            </w:r>
          </w:p>
        </w:tc>
      </w:tr>
      <w:tr w:rsidR="005659B6" w14:paraId="56F03150" w14:textId="77777777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43F9AB94" w14:textId="77777777" w:rsidR="005659B6" w:rsidRDefault="006500C3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English Language</w:t>
            </w:r>
          </w:p>
          <w:p w14:paraId="34D15AD1" w14:textId="0071796B" w:rsidR="006500C3" w:rsidRPr="007E4B99" w:rsidRDefault="006500C3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Computer</w:t>
            </w:r>
          </w:p>
        </w:tc>
        <w:tc>
          <w:tcPr>
            <w:tcW w:w="4684" w:type="dxa"/>
            <w:vAlign w:val="center"/>
          </w:tcPr>
          <w:p w14:paraId="0476E815" w14:textId="77777777" w:rsidR="005659B6" w:rsidRDefault="006500C3" w:rsidP="00F2532E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اللغة الانجليزية </w:t>
            </w:r>
          </w:p>
          <w:p w14:paraId="5E95C14A" w14:textId="4BE81A7E" w:rsidR="006500C3" w:rsidRPr="007E4B99" w:rsidRDefault="006500C3" w:rsidP="006500C3">
            <w:pPr>
              <w:bidi/>
              <w:jc w:val="both"/>
              <w:rPr>
                <w:rFonts w:ascii="Times New Roman" w:eastAsia="Tajawal" w:hAnsi="Times New Roman" w:cs="Times New Roman"/>
                <w:b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الكمبيوتر </w:t>
            </w: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D70A4E" w14:paraId="38C1953A" w14:textId="77777777">
        <w:trPr>
          <w:trHeight w:val="555"/>
        </w:trPr>
        <w:tc>
          <w:tcPr>
            <w:tcW w:w="2070" w:type="dxa"/>
            <w:vAlign w:val="center"/>
          </w:tcPr>
          <w:p w14:paraId="29C432A8" w14:textId="7F1D27EC" w:rsidR="00D70A4E" w:rsidRPr="00D70A4E" w:rsidRDefault="00D70A4E" w:rsidP="00D70A4E">
            <w:pPr>
              <w:jc w:val="both"/>
              <w:rPr>
                <w:rFonts w:asciiTheme="majorBidi" w:eastAsia="Tajawal" w:hAnsiTheme="majorBidi" w:cstheme="majorBidi"/>
                <w:b/>
                <w:sz w:val="28"/>
                <w:szCs w:val="28"/>
                <w:lang w:val="en"/>
              </w:rPr>
            </w:pPr>
            <w:r w:rsidRPr="00D70A4E">
              <w:rPr>
                <w:rFonts w:asciiTheme="majorBidi" w:eastAsia="Tajawal" w:hAnsiTheme="majorBidi" w:cstheme="majorBidi"/>
                <w:b/>
                <w:sz w:val="24"/>
                <w:szCs w:val="24"/>
                <w:lang w:val="en"/>
              </w:rPr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14:paraId="66D8124C" w14:textId="6BC4F51E" w:rsidR="00FA5DD5" w:rsidRPr="006500C3" w:rsidRDefault="006500C3" w:rsidP="005A0151">
            <w:pPr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Quality Management Courses</w:t>
            </w:r>
          </w:p>
        </w:tc>
        <w:tc>
          <w:tcPr>
            <w:tcW w:w="4684" w:type="dxa"/>
            <w:vAlign w:val="center"/>
          </w:tcPr>
          <w:p w14:paraId="0A42E174" w14:textId="74F25025" w:rsidR="0081744F" w:rsidRPr="007E200C" w:rsidRDefault="006500C3" w:rsidP="001B6879">
            <w:pPr>
              <w:pStyle w:val="a6"/>
              <w:bidi/>
              <w:jc w:val="both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Cs/>
                <w:sz w:val="28"/>
                <w:szCs w:val="28"/>
                <w:rtl/>
                <w:lang w:bidi="ar-YE"/>
              </w:rPr>
              <w:t xml:space="preserve">دورات في الجودة </w:t>
            </w:r>
          </w:p>
        </w:tc>
        <w:tc>
          <w:tcPr>
            <w:tcW w:w="1700" w:type="dxa"/>
            <w:vAlign w:val="center"/>
          </w:tcPr>
          <w:p w14:paraId="42CFCB93" w14:textId="3805C458" w:rsidR="00D70A4E" w:rsidRPr="00D70A4E" w:rsidRDefault="00D70A4E" w:rsidP="002A53B0">
            <w:pPr>
              <w:bidi/>
              <w:jc w:val="both"/>
              <w:rPr>
                <w:rFonts w:asciiTheme="minorHAnsi" w:eastAsia="Tajawal" w:hAnsiTheme="minorHAnsi" w:cs="Times New Roman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الخبرات والمهارات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في مجال التطوير وضمان الجودة </w:t>
            </w:r>
          </w:p>
        </w:tc>
      </w:tr>
      <w:tr w:rsidR="00196F69" w14:paraId="57D3E5AE" w14:textId="77777777">
        <w:trPr>
          <w:trHeight w:val="556"/>
        </w:trPr>
        <w:tc>
          <w:tcPr>
            <w:tcW w:w="2070" w:type="dxa"/>
            <w:vAlign w:val="center"/>
          </w:tcPr>
          <w:p w14:paraId="3E707415" w14:textId="7D0E93F2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Projects</w:t>
            </w:r>
          </w:p>
        </w:tc>
        <w:tc>
          <w:tcPr>
            <w:tcW w:w="4952" w:type="dxa"/>
            <w:vAlign w:val="center"/>
          </w:tcPr>
          <w:p w14:paraId="7B222C9B" w14:textId="0F71BD58" w:rsidR="00196F69" w:rsidRPr="009720AB" w:rsidRDefault="00196F69" w:rsidP="009720AB">
            <w:pPr>
              <w:pStyle w:val="a9"/>
            </w:pPr>
          </w:p>
        </w:tc>
        <w:tc>
          <w:tcPr>
            <w:tcW w:w="4684" w:type="dxa"/>
            <w:vAlign w:val="center"/>
          </w:tcPr>
          <w:p w14:paraId="6916347C" w14:textId="63BC174C" w:rsidR="00196F69" w:rsidRPr="009076EC" w:rsidRDefault="00196F69" w:rsidP="007455A2">
            <w:pPr>
              <w:bidi/>
              <w:jc w:val="both"/>
              <w:rPr>
                <w:rFonts w:asciiTheme="minorBidi" w:hAnsiTheme="minorBidi" w:cstheme="minorBidi"/>
                <w:sz w:val="28"/>
                <w:szCs w:val="28"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13E874C2" w14:textId="656186A3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المشاريع المنجزة</w:t>
            </w:r>
          </w:p>
        </w:tc>
      </w:tr>
      <w:tr w:rsidR="00196F69" w14:paraId="256DED3C" w14:textId="77777777">
        <w:trPr>
          <w:trHeight w:val="556"/>
        </w:trPr>
        <w:tc>
          <w:tcPr>
            <w:tcW w:w="2070" w:type="dxa"/>
            <w:vAlign w:val="center"/>
          </w:tcPr>
          <w:p w14:paraId="771F2EAE" w14:textId="5AADC8E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14:paraId="024ECDB0" w14:textId="197980FC" w:rsidR="00196F69" w:rsidRPr="00B428E3" w:rsidRDefault="00196F69" w:rsidP="00ED20CE">
            <w:pPr>
              <w:pStyle w:val="a9"/>
            </w:pPr>
          </w:p>
        </w:tc>
        <w:tc>
          <w:tcPr>
            <w:tcW w:w="4684" w:type="dxa"/>
            <w:vAlign w:val="center"/>
          </w:tcPr>
          <w:p w14:paraId="243591CF" w14:textId="41D6B72B" w:rsidR="00904860" w:rsidRPr="009076EC" w:rsidRDefault="00904860" w:rsidP="00CE33A4">
            <w:pPr>
              <w:bidi/>
              <w:rPr>
                <w:rFonts w:ascii="Arial" w:eastAsia="Tajawal" w:hAnsi="Arial" w:cs="Arial"/>
                <w:b/>
                <w:sz w:val="28"/>
                <w:szCs w:val="28"/>
                <w:rtl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>
        <w:trPr>
          <w:trHeight w:val="556"/>
        </w:trPr>
        <w:tc>
          <w:tcPr>
            <w:tcW w:w="2070" w:type="dxa"/>
            <w:vAlign w:val="center"/>
          </w:tcPr>
          <w:p w14:paraId="0532D092" w14:textId="3F98F91F" w:rsidR="00196F69" w:rsidRPr="007E4B99" w:rsidRDefault="00A47BE5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14:paraId="511984F3" w14:textId="5B0E4650" w:rsidR="006500C3" w:rsidRDefault="006500C3" w:rsidP="006500C3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left="416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Courses and Workshops in different types of eye diseases </w:t>
            </w:r>
          </w:p>
          <w:p w14:paraId="0978263E" w14:textId="5C34EBAD" w:rsidR="006500C3" w:rsidRPr="00111475" w:rsidRDefault="006500C3" w:rsidP="00111475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left="416"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Course in Research</w:t>
            </w:r>
          </w:p>
        </w:tc>
        <w:tc>
          <w:tcPr>
            <w:tcW w:w="4684" w:type="dxa"/>
            <w:vAlign w:val="center"/>
          </w:tcPr>
          <w:p w14:paraId="00201FE9" w14:textId="77777777" w:rsidR="00C3544E" w:rsidRDefault="006500C3" w:rsidP="00C3544E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ورشات ودورات علمية في مختلف أمراض العيون </w:t>
            </w:r>
          </w:p>
          <w:p w14:paraId="615FCAA6" w14:textId="353150F6" w:rsidR="006500C3" w:rsidRPr="00C3544E" w:rsidRDefault="006500C3" w:rsidP="006500C3">
            <w:pPr>
              <w:pStyle w:val="a6"/>
              <w:bidi/>
              <w:ind w:left="416"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دورات في الطرق البحثية </w:t>
            </w:r>
          </w:p>
        </w:tc>
        <w:tc>
          <w:tcPr>
            <w:tcW w:w="1700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E175468" w14:textId="77777777" w:rsidTr="0084407D">
        <w:trPr>
          <w:trHeight w:val="556"/>
        </w:trPr>
        <w:tc>
          <w:tcPr>
            <w:tcW w:w="2070" w:type="dxa"/>
            <w:vAlign w:val="center"/>
          </w:tcPr>
          <w:p w14:paraId="16BE3BE5" w14:textId="0191333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952" w:type="dxa"/>
            <w:vAlign w:val="center"/>
          </w:tcPr>
          <w:p w14:paraId="1B0C90AB" w14:textId="65CABAEF" w:rsidR="00196F69" w:rsidRPr="00F80FC9" w:rsidRDefault="006500C3" w:rsidP="00F80F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Different Local and International Conferences of Ophthalmology  </w:t>
            </w:r>
          </w:p>
        </w:tc>
        <w:tc>
          <w:tcPr>
            <w:tcW w:w="4684" w:type="dxa"/>
          </w:tcPr>
          <w:p w14:paraId="4C16A6BE" w14:textId="4778B428" w:rsidR="00526AB1" w:rsidRPr="008D77FC" w:rsidRDefault="006500C3" w:rsidP="00C3544E">
            <w:p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مؤتمرات عديدة محلية ودولية في أمراض وجراحة العيون</w:t>
            </w:r>
          </w:p>
        </w:tc>
        <w:tc>
          <w:tcPr>
            <w:tcW w:w="1700" w:type="dxa"/>
            <w:vAlign w:val="center"/>
          </w:tcPr>
          <w:p w14:paraId="1C07B0D3" w14:textId="34862D17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96F69" w14:paraId="645F1FE8" w14:textId="77777777">
        <w:trPr>
          <w:trHeight w:val="555"/>
        </w:trPr>
        <w:tc>
          <w:tcPr>
            <w:tcW w:w="2070" w:type="dxa"/>
            <w:vAlign w:val="center"/>
          </w:tcPr>
          <w:p w14:paraId="64D6EF93" w14:textId="66555860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Publications</w:t>
            </w:r>
          </w:p>
        </w:tc>
        <w:tc>
          <w:tcPr>
            <w:tcW w:w="4952" w:type="dxa"/>
            <w:vAlign w:val="center"/>
          </w:tcPr>
          <w:p w14:paraId="48C14071" w14:textId="77777777" w:rsidR="00B870A2" w:rsidRDefault="00B870A2" w:rsidP="00B870A2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Research and scientific papers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14:paraId="2B6625E7" w14:textId="77777777" w:rsidR="0058144C" w:rsidRDefault="0058144C" w:rsidP="00545E2D">
            <w:pPr>
              <w:pStyle w:val="a6"/>
              <w:spacing w:line="256" w:lineRule="auto"/>
              <w:ind w:left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B1D762" w14:textId="7F43D33F" w:rsidR="00196F69" w:rsidRPr="00B870A2" w:rsidRDefault="00A90B89" w:rsidP="00E84E5E">
            <w:pPr>
              <w:pStyle w:val="a6"/>
              <w:numPr>
                <w:ilvl w:val="0"/>
                <w:numId w:val="11"/>
              </w:numPr>
              <w:spacing w:line="256" w:lineRule="auto"/>
              <w:ind w:left="283"/>
              <w:jc w:val="both"/>
              <w:rPr>
                <w:rFonts w:asciiTheme="minorHAnsi" w:eastAsia="Tajawal" w:hAnsiTheme="minorHAnsi" w:cs="Tajawal"/>
                <w:b/>
              </w:rPr>
            </w:pPr>
            <w:r>
              <w:rPr>
                <w:rFonts w:asciiTheme="minorHAnsi" w:eastAsia="Tajawal" w:hAnsiTheme="minorHAnsi" w:cs="Tajawal"/>
                <w:b/>
              </w:rPr>
              <w:t>Indications and Outcomes of Vitrectomy Among Yemeni Patients in Sana’a City Yemen 2023</w:t>
            </w:r>
            <w:r w:rsidR="006500C3">
              <w:rPr>
                <w:rFonts w:asciiTheme="minorHAnsi" w:eastAsia="Tajawal" w:hAnsiTheme="minorHAnsi" w:cs="Tajawal"/>
                <w:b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7AEE3DBD" w14:textId="77777777" w:rsidR="00B870A2" w:rsidRPr="00E53769" w:rsidRDefault="00B870A2" w:rsidP="00B870A2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  <w:r w:rsidRPr="00E53769"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  <w:t>الأبحاث والأوراق العلمية:</w:t>
            </w:r>
          </w:p>
          <w:p w14:paraId="666B9DCC" w14:textId="4DBDC8ED" w:rsidR="003A4FAE" w:rsidRPr="006500C3" w:rsidRDefault="00A90B89" w:rsidP="006500C3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دواعي اجراء استئصال الجسم الزجاجي ونتائجه لدى المرضى اليمنيين في صنعاء, اليمن, 2023</w:t>
            </w:r>
          </w:p>
          <w:p w14:paraId="55A0A38A" w14:textId="16A4983C" w:rsidR="00196F69" w:rsidRPr="007E4B99" w:rsidRDefault="00E84E5E" w:rsidP="00E84E5E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 w:rsidRPr="007E4B99">
              <w:rPr>
                <w:rFonts w:ascii="Times New Roman" w:eastAsia="Tajawal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0EAED647" w14:textId="6952E4C4" w:rsidR="00196F69" w:rsidRPr="007E4B99" w:rsidRDefault="00196F69" w:rsidP="002A53B0">
            <w:pPr>
              <w:bidi/>
              <w:spacing w:after="160" w:line="259" w:lineRule="auto"/>
              <w:jc w:val="both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الأبحاث المنشورة</w:t>
            </w:r>
          </w:p>
        </w:tc>
      </w:tr>
      <w:tr w:rsidR="00A90B89" w14:paraId="536551BA" w14:textId="77777777" w:rsidTr="00F23AB2">
        <w:trPr>
          <w:trHeight w:val="555"/>
        </w:trPr>
        <w:tc>
          <w:tcPr>
            <w:tcW w:w="2070" w:type="dxa"/>
            <w:vAlign w:val="center"/>
          </w:tcPr>
          <w:p w14:paraId="2CE0FD18" w14:textId="5A0E6034" w:rsidR="00A90B89" w:rsidRPr="002A53B0" w:rsidRDefault="00A90B89" w:rsidP="00A90B89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 w:rsidRPr="002A53B0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Scientific </w:t>
            </w:r>
            <w:r w:rsidRPr="002A53B0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lastRenderedPageBreak/>
              <w:t>Conferences</w:t>
            </w:r>
          </w:p>
        </w:tc>
        <w:tc>
          <w:tcPr>
            <w:tcW w:w="4952" w:type="dxa"/>
            <w:vAlign w:val="center"/>
          </w:tcPr>
          <w:p w14:paraId="4E5A4574" w14:textId="032DF24E" w:rsidR="00A90B89" w:rsidRDefault="00A90B89" w:rsidP="00A90B89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Different Local and International Conferences of Ophthalmology  </w:t>
            </w:r>
          </w:p>
        </w:tc>
        <w:tc>
          <w:tcPr>
            <w:tcW w:w="4684" w:type="dxa"/>
          </w:tcPr>
          <w:p w14:paraId="782754C5" w14:textId="729D8B5F" w:rsidR="00A90B89" w:rsidRPr="00A90B89" w:rsidRDefault="00A90B89" w:rsidP="00A90B89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  <w:lang w:val="fr-FR" w:bidi="ar-YE"/>
              </w:rPr>
            </w:pP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 xml:space="preserve">مؤتمرات عديدة محلية ودولية في أمراض وجراحة 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lastRenderedPageBreak/>
              <w:t>العيون</w:t>
            </w:r>
          </w:p>
        </w:tc>
        <w:tc>
          <w:tcPr>
            <w:tcW w:w="1700" w:type="dxa"/>
            <w:vAlign w:val="center"/>
          </w:tcPr>
          <w:p w14:paraId="17EBFD69" w14:textId="1BAFB8A1" w:rsidR="00A90B89" w:rsidRPr="007E4B99" w:rsidRDefault="00A90B89" w:rsidP="00A90B89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 xml:space="preserve">المؤتمرات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العلمية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</w:rPr>
      </w:pPr>
    </w:p>
    <w:sectPr w:rsidR="00D656F6" w:rsidRPr="000D783F">
      <w:headerReference w:type="default" r:id="rId10"/>
      <w:footerReference w:type="default" r:id="rId11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7549B" w14:textId="77777777" w:rsidR="00FD5D05" w:rsidRDefault="00FD5D05">
      <w:pPr>
        <w:spacing w:after="0" w:line="240" w:lineRule="auto"/>
      </w:pPr>
      <w:r>
        <w:separator/>
      </w:r>
    </w:p>
  </w:endnote>
  <w:endnote w:type="continuationSeparator" w:id="0">
    <w:p w14:paraId="1FDB9B2E" w14:textId="77777777" w:rsidR="00FD5D05" w:rsidRDefault="00FD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0EF3D" w14:textId="77777777" w:rsidR="00FD5D05" w:rsidRDefault="00FD5D05">
      <w:pPr>
        <w:spacing w:after="0" w:line="240" w:lineRule="auto"/>
      </w:pPr>
      <w:r>
        <w:separator/>
      </w:r>
    </w:p>
  </w:footnote>
  <w:footnote w:type="continuationSeparator" w:id="0">
    <w:p w14:paraId="2B7CFABD" w14:textId="77777777" w:rsidR="00FD5D05" w:rsidRDefault="00FD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6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1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41106"/>
    <w:rsid w:val="000459CB"/>
    <w:rsid w:val="000503B1"/>
    <w:rsid w:val="00061115"/>
    <w:rsid w:val="00070CDC"/>
    <w:rsid w:val="000904DD"/>
    <w:rsid w:val="000A1143"/>
    <w:rsid w:val="000A2D0F"/>
    <w:rsid w:val="000C0E87"/>
    <w:rsid w:val="000D0F9E"/>
    <w:rsid w:val="000D783F"/>
    <w:rsid w:val="000F7F35"/>
    <w:rsid w:val="00111475"/>
    <w:rsid w:val="00115682"/>
    <w:rsid w:val="00135546"/>
    <w:rsid w:val="00151240"/>
    <w:rsid w:val="00173EF9"/>
    <w:rsid w:val="001761E2"/>
    <w:rsid w:val="001824F4"/>
    <w:rsid w:val="00196F69"/>
    <w:rsid w:val="001A7602"/>
    <w:rsid w:val="001B6879"/>
    <w:rsid w:val="001D01FA"/>
    <w:rsid w:val="001D591D"/>
    <w:rsid w:val="00250C5B"/>
    <w:rsid w:val="00263D43"/>
    <w:rsid w:val="002765D9"/>
    <w:rsid w:val="002940E2"/>
    <w:rsid w:val="002A3945"/>
    <w:rsid w:val="002A53B0"/>
    <w:rsid w:val="003160A2"/>
    <w:rsid w:val="00344683"/>
    <w:rsid w:val="003A4FAE"/>
    <w:rsid w:val="003A5115"/>
    <w:rsid w:val="003C6234"/>
    <w:rsid w:val="003C7248"/>
    <w:rsid w:val="003E5840"/>
    <w:rsid w:val="004016B9"/>
    <w:rsid w:val="004038C7"/>
    <w:rsid w:val="00432D2A"/>
    <w:rsid w:val="00465058"/>
    <w:rsid w:val="00476A86"/>
    <w:rsid w:val="004D258F"/>
    <w:rsid w:val="00505876"/>
    <w:rsid w:val="0052568E"/>
    <w:rsid w:val="00526AB1"/>
    <w:rsid w:val="00530DDE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5D5615"/>
    <w:rsid w:val="00605954"/>
    <w:rsid w:val="00612A72"/>
    <w:rsid w:val="00613A81"/>
    <w:rsid w:val="0062483B"/>
    <w:rsid w:val="006375EC"/>
    <w:rsid w:val="006410FC"/>
    <w:rsid w:val="006500C3"/>
    <w:rsid w:val="00661476"/>
    <w:rsid w:val="0066210B"/>
    <w:rsid w:val="00676B21"/>
    <w:rsid w:val="006902EF"/>
    <w:rsid w:val="0069227F"/>
    <w:rsid w:val="006961DE"/>
    <w:rsid w:val="006A1387"/>
    <w:rsid w:val="006B3298"/>
    <w:rsid w:val="006C19C8"/>
    <w:rsid w:val="006E7358"/>
    <w:rsid w:val="0070531E"/>
    <w:rsid w:val="00707A37"/>
    <w:rsid w:val="00730236"/>
    <w:rsid w:val="00734F07"/>
    <w:rsid w:val="00743251"/>
    <w:rsid w:val="007455A2"/>
    <w:rsid w:val="00785466"/>
    <w:rsid w:val="00792881"/>
    <w:rsid w:val="007A5042"/>
    <w:rsid w:val="007B21DF"/>
    <w:rsid w:val="007B72D2"/>
    <w:rsid w:val="007D7B5D"/>
    <w:rsid w:val="007E200C"/>
    <w:rsid w:val="007E4B99"/>
    <w:rsid w:val="0081744F"/>
    <w:rsid w:val="00822363"/>
    <w:rsid w:val="008343E6"/>
    <w:rsid w:val="00836BF6"/>
    <w:rsid w:val="00844AB4"/>
    <w:rsid w:val="0084670A"/>
    <w:rsid w:val="00873CAD"/>
    <w:rsid w:val="008D77FC"/>
    <w:rsid w:val="008E312D"/>
    <w:rsid w:val="008E56A2"/>
    <w:rsid w:val="00904860"/>
    <w:rsid w:val="009076EC"/>
    <w:rsid w:val="00914320"/>
    <w:rsid w:val="00923AB8"/>
    <w:rsid w:val="00932F78"/>
    <w:rsid w:val="0094426E"/>
    <w:rsid w:val="0095524A"/>
    <w:rsid w:val="009720AB"/>
    <w:rsid w:val="009766C6"/>
    <w:rsid w:val="009A5AA9"/>
    <w:rsid w:val="009F6526"/>
    <w:rsid w:val="00A01CBC"/>
    <w:rsid w:val="00A47BE5"/>
    <w:rsid w:val="00A51380"/>
    <w:rsid w:val="00A85C6B"/>
    <w:rsid w:val="00A90B89"/>
    <w:rsid w:val="00AA6361"/>
    <w:rsid w:val="00AB4065"/>
    <w:rsid w:val="00AC2D12"/>
    <w:rsid w:val="00AF1A2D"/>
    <w:rsid w:val="00B14DAE"/>
    <w:rsid w:val="00B16DAF"/>
    <w:rsid w:val="00B267F6"/>
    <w:rsid w:val="00B330DA"/>
    <w:rsid w:val="00B34CEC"/>
    <w:rsid w:val="00B36E96"/>
    <w:rsid w:val="00B428E3"/>
    <w:rsid w:val="00B80D71"/>
    <w:rsid w:val="00B8632A"/>
    <w:rsid w:val="00B870A2"/>
    <w:rsid w:val="00BB7085"/>
    <w:rsid w:val="00BC4960"/>
    <w:rsid w:val="00C16590"/>
    <w:rsid w:val="00C3544E"/>
    <w:rsid w:val="00C5350B"/>
    <w:rsid w:val="00C8221D"/>
    <w:rsid w:val="00CE33A4"/>
    <w:rsid w:val="00CE61F7"/>
    <w:rsid w:val="00CF2E41"/>
    <w:rsid w:val="00CF61FC"/>
    <w:rsid w:val="00D3520D"/>
    <w:rsid w:val="00D35463"/>
    <w:rsid w:val="00D35992"/>
    <w:rsid w:val="00D4097D"/>
    <w:rsid w:val="00D45177"/>
    <w:rsid w:val="00D656F6"/>
    <w:rsid w:val="00D70A4E"/>
    <w:rsid w:val="00E10351"/>
    <w:rsid w:val="00E227A7"/>
    <w:rsid w:val="00E50FAA"/>
    <w:rsid w:val="00E53769"/>
    <w:rsid w:val="00E60722"/>
    <w:rsid w:val="00E6538E"/>
    <w:rsid w:val="00E7181B"/>
    <w:rsid w:val="00E800EE"/>
    <w:rsid w:val="00E84E5E"/>
    <w:rsid w:val="00EA7F4A"/>
    <w:rsid w:val="00EC2AE4"/>
    <w:rsid w:val="00ED20CE"/>
    <w:rsid w:val="00EE6C0C"/>
    <w:rsid w:val="00EE6E0D"/>
    <w:rsid w:val="00F142DB"/>
    <w:rsid w:val="00F2532E"/>
    <w:rsid w:val="00F26759"/>
    <w:rsid w:val="00F36753"/>
    <w:rsid w:val="00F422B9"/>
    <w:rsid w:val="00F435B8"/>
    <w:rsid w:val="00F44D0D"/>
    <w:rsid w:val="00F6003A"/>
    <w:rsid w:val="00F65C55"/>
    <w:rsid w:val="00F80FC9"/>
    <w:rsid w:val="00F81437"/>
    <w:rsid w:val="00FA5DD5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alkadmy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.alkadmy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2026-01-22T13:09:00Z</dcterms:created>
  <dcterms:modified xsi:type="dcterms:W3CDTF">2026-01-22T15:09:00Z</dcterms:modified>
</cp:coreProperties>
</file>